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A8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2357A8" w:rsidRDefault="002357A8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2357A8" w:rsidRDefault="002357A8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СТАРОРОГОВСКОГО СЕЛЬСОВЕТА</w:t>
      </w:r>
    </w:p>
    <w:p w:rsidR="002357A8" w:rsidRDefault="002357A8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2357A8" w:rsidRDefault="002357A8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57A8" w:rsidRDefault="002357A8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57A8" w:rsidRDefault="002357A8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357A8" w:rsidRDefault="002357A8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57A8" w:rsidRDefault="002220C2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A783E">
        <w:rPr>
          <w:rFonts w:ascii="Arial" w:hAnsi="Arial" w:cs="Arial"/>
          <w:b/>
          <w:sz w:val="32"/>
          <w:szCs w:val="32"/>
        </w:rPr>
        <w:t>0</w:t>
      </w:r>
      <w:r w:rsidR="00310454">
        <w:rPr>
          <w:rFonts w:ascii="Arial" w:hAnsi="Arial" w:cs="Arial"/>
          <w:b/>
          <w:sz w:val="32"/>
          <w:szCs w:val="32"/>
        </w:rPr>
        <w:t xml:space="preserve">5 марта  </w:t>
      </w:r>
      <w:r>
        <w:rPr>
          <w:rFonts w:ascii="Arial" w:hAnsi="Arial" w:cs="Arial"/>
          <w:b/>
          <w:sz w:val="32"/>
          <w:szCs w:val="32"/>
        </w:rPr>
        <w:t>2019</w:t>
      </w:r>
      <w:r w:rsidR="002357A8">
        <w:rPr>
          <w:rFonts w:ascii="Arial" w:hAnsi="Arial" w:cs="Arial"/>
          <w:b/>
          <w:sz w:val="32"/>
          <w:szCs w:val="32"/>
        </w:rPr>
        <w:t xml:space="preserve"> г</w:t>
      </w:r>
      <w:r w:rsidR="00310454">
        <w:rPr>
          <w:rFonts w:ascii="Arial" w:hAnsi="Arial" w:cs="Arial"/>
          <w:b/>
          <w:sz w:val="32"/>
          <w:szCs w:val="32"/>
        </w:rPr>
        <w:t xml:space="preserve">ода </w:t>
      </w:r>
      <w:r>
        <w:rPr>
          <w:rFonts w:ascii="Arial" w:hAnsi="Arial" w:cs="Arial"/>
          <w:b/>
          <w:sz w:val="32"/>
          <w:szCs w:val="32"/>
        </w:rPr>
        <w:t xml:space="preserve"> №73</w:t>
      </w:r>
    </w:p>
    <w:p w:rsidR="002357A8" w:rsidRDefault="002357A8" w:rsidP="005A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57A8" w:rsidRDefault="002357A8" w:rsidP="005A7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357A8" w:rsidRDefault="002357A8" w:rsidP="005A783E">
      <w:pPr>
        <w:pStyle w:val="ConsPlusTitle"/>
        <w:widowControl/>
        <w:jc w:val="center"/>
        <w:outlineLvl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Правил благоустройства территории</w:t>
      </w:r>
    </w:p>
    <w:p w:rsidR="002357A8" w:rsidRDefault="002357A8" w:rsidP="005A783E">
      <w:pPr>
        <w:pStyle w:val="ConsPlusTitle"/>
        <w:widowControl/>
        <w:jc w:val="center"/>
        <w:outlineLvl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 «</w:t>
      </w:r>
      <w:proofErr w:type="spellStart"/>
      <w:r>
        <w:rPr>
          <w:rFonts w:ascii="Arial" w:hAnsi="Arial" w:cs="Arial"/>
          <w:sz w:val="32"/>
          <w:szCs w:val="32"/>
        </w:rPr>
        <w:t>Старороговский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Курской области</w:t>
      </w:r>
    </w:p>
    <w:p w:rsidR="002357A8" w:rsidRDefault="002357A8" w:rsidP="005A7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57A8" w:rsidRDefault="002357A8" w:rsidP="005A7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357A8" w:rsidRDefault="002357A8" w:rsidP="005A7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357A8" w:rsidRPr="005A783E" w:rsidRDefault="002357A8" w:rsidP="005A78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5A783E">
        <w:rPr>
          <w:rFonts w:ascii="Arial" w:hAnsi="Arial" w:cs="Arial"/>
          <w:sz w:val="24"/>
          <w:szCs w:val="24"/>
        </w:rPr>
        <w:t>Во исполнение закона Курской области от 20 сентября 2018 года №59-ЗКО «О порядке определения органами местного самоуправления Курской области границ прилегающих территорий»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5A783E">
        <w:rPr>
          <w:rFonts w:ascii="Arial" w:hAnsi="Arial" w:cs="Arial"/>
          <w:sz w:val="28"/>
          <w:szCs w:val="28"/>
        </w:rPr>
        <w:t xml:space="preserve"> </w:t>
      </w:r>
      <w:r w:rsidRPr="005A783E">
        <w:rPr>
          <w:rFonts w:ascii="Arial" w:hAnsi="Arial" w:cs="Arial"/>
          <w:sz w:val="24"/>
          <w:szCs w:val="24"/>
        </w:rPr>
        <w:t xml:space="preserve">и в целях благоустройства и санитарного состояния населенных пунктов </w:t>
      </w:r>
      <w:proofErr w:type="spellStart"/>
      <w:r w:rsidRPr="005A783E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A783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района  Курской области Собрание депутатов </w:t>
      </w:r>
      <w:proofErr w:type="spellStart"/>
      <w:r w:rsidRPr="005A783E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A783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5A783E">
        <w:rPr>
          <w:rFonts w:ascii="Arial" w:hAnsi="Arial" w:cs="Arial"/>
          <w:sz w:val="24"/>
          <w:szCs w:val="24"/>
        </w:rPr>
        <w:t xml:space="preserve"> РЕШИЛО:</w:t>
      </w:r>
    </w:p>
    <w:p w:rsidR="002357A8" w:rsidRPr="005A783E" w:rsidRDefault="002357A8" w:rsidP="005A78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2357A8" w:rsidRPr="005A783E" w:rsidRDefault="002357A8" w:rsidP="005A78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A783E">
        <w:rPr>
          <w:rFonts w:ascii="Arial" w:hAnsi="Arial" w:cs="Arial"/>
          <w:sz w:val="24"/>
          <w:szCs w:val="24"/>
        </w:rPr>
        <w:t>Утвердить прилагаемые Правила благоустройства территории  муниципального образования «</w:t>
      </w:r>
      <w:proofErr w:type="spellStart"/>
      <w:r w:rsidRPr="005A783E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5A783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2357A8" w:rsidRPr="005A783E" w:rsidRDefault="002357A8" w:rsidP="005A78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A783E">
        <w:rPr>
          <w:rFonts w:ascii="Arial" w:hAnsi="Arial" w:cs="Arial"/>
          <w:sz w:val="24"/>
          <w:szCs w:val="24"/>
        </w:rPr>
        <w:t xml:space="preserve">Решение Собрания депутатов </w:t>
      </w:r>
      <w:proofErr w:type="spellStart"/>
      <w:r w:rsidRPr="005A783E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A783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района «О правилах благоустройства, озеленения, чистоты и порядка на территории </w:t>
      </w:r>
      <w:proofErr w:type="spellStart"/>
      <w:r w:rsidRPr="005A783E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A783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A783E">
        <w:rPr>
          <w:rFonts w:ascii="Arial" w:hAnsi="Arial" w:cs="Arial"/>
          <w:sz w:val="24"/>
          <w:szCs w:val="24"/>
        </w:rPr>
        <w:t xml:space="preserve"> района Курск</w:t>
      </w:r>
      <w:r w:rsidR="002220C2" w:rsidRPr="005A783E">
        <w:rPr>
          <w:rFonts w:ascii="Arial" w:hAnsi="Arial" w:cs="Arial"/>
          <w:sz w:val="24"/>
          <w:szCs w:val="24"/>
        </w:rPr>
        <w:t>ой области от 26.10.2018 г. №61</w:t>
      </w:r>
      <w:r w:rsidRPr="005A783E">
        <w:rPr>
          <w:rFonts w:ascii="Arial" w:hAnsi="Arial" w:cs="Arial"/>
          <w:sz w:val="24"/>
          <w:szCs w:val="24"/>
        </w:rPr>
        <w:t xml:space="preserve"> считать утратившими силу</w:t>
      </w:r>
    </w:p>
    <w:p w:rsidR="002357A8" w:rsidRPr="005A783E" w:rsidRDefault="002357A8" w:rsidP="005A78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5A783E">
        <w:rPr>
          <w:rFonts w:ascii="Arial" w:hAnsi="Arial" w:cs="Arial"/>
          <w:b/>
          <w:sz w:val="24"/>
          <w:szCs w:val="24"/>
        </w:rPr>
        <w:t xml:space="preserve">Председатель Собрания депутатов </w:t>
      </w: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proofErr w:type="spellStart"/>
      <w:r w:rsidRPr="005A783E">
        <w:rPr>
          <w:rFonts w:ascii="Arial" w:hAnsi="Arial" w:cs="Arial"/>
          <w:b/>
          <w:sz w:val="24"/>
          <w:szCs w:val="24"/>
        </w:rPr>
        <w:t>Старороговского</w:t>
      </w:r>
      <w:proofErr w:type="spellEnd"/>
      <w:r w:rsidR="005A783E" w:rsidRPr="005A783E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5A783E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A783E" w:rsidRPr="005A783E">
        <w:rPr>
          <w:rFonts w:ascii="Arial" w:hAnsi="Arial" w:cs="Arial"/>
          <w:b/>
          <w:sz w:val="24"/>
          <w:szCs w:val="24"/>
        </w:rPr>
        <w:t xml:space="preserve">       </w:t>
      </w:r>
      <w:r w:rsidRPr="005A783E">
        <w:rPr>
          <w:rFonts w:ascii="Arial" w:hAnsi="Arial" w:cs="Arial"/>
          <w:b/>
          <w:sz w:val="24"/>
          <w:szCs w:val="24"/>
        </w:rPr>
        <w:t xml:space="preserve">    О.В. </w:t>
      </w:r>
      <w:proofErr w:type="spellStart"/>
      <w:r w:rsidRPr="005A783E">
        <w:rPr>
          <w:rFonts w:ascii="Arial" w:hAnsi="Arial" w:cs="Arial"/>
          <w:b/>
          <w:sz w:val="24"/>
          <w:szCs w:val="24"/>
        </w:rPr>
        <w:t>Часовских</w:t>
      </w:r>
      <w:proofErr w:type="spellEnd"/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5A783E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5A783E">
        <w:rPr>
          <w:rFonts w:ascii="Arial" w:hAnsi="Arial" w:cs="Arial"/>
          <w:b/>
          <w:sz w:val="24"/>
          <w:szCs w:val="24"/>
        </w:rPr>
        <w:t>Старороговского</w:t>
      </w:r>
      <w:proofErr w:type="spellEnd"/>
      <w:r w:rsidRPr="005A783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proofErr w:type="spellStart"/>
      <w:r w:rsidRPr="005A783E"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 w:rsidRPr="005A783E">
        <w:rPr>
          <w:rFonts w:ascii="Arial" w:hAnsi="Arial" w:cs="Arial"/>
          <w:b/>
          <w:sz w:val="24"/>
          <w:szCs w:val="24"/>
        </w:rPr>
        <w:t xml:space="preserve"> района                </w:t>
      </w:r>
      <w:r w:rsidR="005A783E" w:rsidRPr="005A783E">
        <w:rPr>
          <w:rFonts w:ascii="Arial" w:hAnsi="Arial" w:cs="Arial"/>
          <w:b/>
          <w:sz w:val="24"/>
          <w:szCs w:val="24"/>
        </w:rPr>
        <w:t xml:space="preserve">                     </w:t>
      </w:r>
      <w:r w:rsidRPr="005A783E">
        <w:rPr>
          <w:rFonts w:ascii="Arial" w:hAnsi="Arial" w:cs="Arial"/>
          <w:b/>
          <w:sz w:val="24"/>
          <w:szCs w:val="24"/>
        </w:rPr>
        <w:t xml:space="preserve">    </w:t>
      </w:r>
      <w:r w:rsidR="005A783E" w:rsidRPr="005A783E">
        <w:rPr>
          <w:rFonts w:ascii="Arial" w:hAnsi="Arial" w:cs="Arial"/>
          <w:b/>
          <w:sz w:val="24"/>
          <w:szCs w:val="24"/>
        </w:rPr>
        <w:t xml:space="preserve">      </w:t>
      </w:r>
      <w:r w:rsidRPr="005A783E">
        <w:rPr>
          <w:rFonts w:ascii="Arial" w:hAnsi="Arial" w:cs="Arial"/>
          <w:b/>
          <w:sz w:val="24"/>
          <w:szCs w:val="24"/>
        </w:rPr>
        <w:t xml:space="preserve">  А. А. Зиновьев</w:t>
      </w:r>
    </w:p>
    <w:p w:rsidR="002357A8" w:rsidRPr="005A783E" w:rsidRDefault="002357A8" w:rsidP="00235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357A8" w:rsidRDefault="002357A8" w:rsidP="004131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«Утверждено»</w:t>
      </w:r>
    </w:p>
    <w:p w:rsidR="002220C2" w:rsidRDefault="00413102" w:rsidP="002220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2220C2">
        <w:rPr>
          <w:rFonts w:ascii="Times New Roman" w:hAnsi="Times New Roman"/>
          <w:b/>
          <w:sz w:val="24"/>
          <w:szCs w:val="24"/>
        </w:rPr>
        <w:t xml:space="preserve">     Собранием депутатов                       </w:t>
      </w:r>
      <w:proofErr w:type="spellStart"/>
      <w:r w:rsidR="002220C2">
        <w:rPr>
          <w:rFonts w:ascii="Times New Roman" w:hAnsi="Times New Roman"/>
          <w:b/>
          <w:sz w:val="24"/>
          <w:szCs w:val="24"/>
        </w:rPr>
        <w:t>Старороговского</w:t>
      </w:r>
      <w:proofErr w:type="spellEnd"/>
      <w:r w:rsidR="002220C2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413102" w:rsidRDefault="002220C2" w:rsidP="002220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Горшеченского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2220C2" w:rsidRDefault="002220C2" w:rsidP="002220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A783E">
        <w:rPr>
          <w:rFonts w:ascii="Times New Roman" w:hAnsi="Times New Roman"/>
          <w:b/>
          <w:sz w:val="24"/>
          <w:szCs w:val="24"/>
        </w:rPr>
        <w:t xml:space="preserve">           </w:t>
      </w:r>
      <w:r w:rsidR="002220C2">
        <w:rPr>
          <w:rFonts w:ascii="Times New Roman" w:hAnsi="Times New Roman"/>
          <w:b/>
          <w:sz w:val="24"/>
          <w:szCs w:val="24"/>
        </w:rPr>
        <w:t xml:space="preserve"> От  «05»  марта 2019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2357A8" w:rsidRDefault="002357A8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13102" w:rsidRDefault="002357A8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A52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муниципального </w:t>
      </w:r>
      <w:r w:rsidRPr="000A52D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0A52D2"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 w:rsidRPr="000A52D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Правила) разработаны в соответствии с Градостроительным 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30 марта         1999 года № 52-ФЗ «О санитарно-эпидемиологическом благополучии населения», Федеральным законом от 10 января 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№ 7-ФЗ «Об охране окружающей среды»,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Законом Курской области №59-ЗКО «О порядке определения органами местного самоуправления Курской области границ прилегающих территорий» от 2</w:t>
      </w:r>
      <w:r w:rsidR="00E72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.09.2018г., иными нормативными правовыми актами, регулирующими правоотношения по благоустройству, уборке, озеленению населенных пунктов.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муниципального образования.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Проектирование и эксплуатация элементов благоустройства обеспечивают требования охраны здоровья человека, исторической и природной среды, архитектурной привлекательности, создают технические возможности беспрепятственного передвижения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по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деятельности, в том числе требования по содержанию зданий (включая жилые дома), сооружений и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 (помещений в них) и сооружений в благоустройстве прилегающих территорий; организация благоустройства территории (включая освещение улиц, озеленение территории, установку указателей с наименованиями улиц и номерами домов, установку информационных дорожных модулей с информацией об объектах притяжения участников дорожного движения, размещение и содержание малых архитектурных форм),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настоящих  Правилах. </w:t>
      </w:r>
    </w:p>
    <w:p w:rsidR="00413102" w:rsidRPr="000A52D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 w:rsidR="000A52D2" w:rsidRPr="000A52D2">
        <w:rPr>
          <w:rFonts w:ascii="Times New Roman" w:hAnsi="Times New Roman" w:cs="Times New Roman"/>
          <w:sz w:val="28"/>
          <w:szCs w:val="28"/>
        </w:rPr>
        <w:t>,</w:t>
      </w:r>
      <w:r w:rsidR="000A52D2" w:rsidRPr="000A52D2">
        <w:rPr>
          <w:rFonts w:ascii="Arial" w:hAnsi="Arial" w:cs="Arial"/>
          <w:shd w:val="clear" w:color="auto" w:fill="FFFFFF"/>
        </w:rPr>
        <w:t xml:space="preserve"> </w:t>
      </w:r>
      <w:r w:rsidR="000A52D2" w:rsidRPr="000A52D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призваны сформировать на участке комфортную и привлекательную среду для деятельности человека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Элементы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(некапитальные) сооружения, наружная реклама и информация, информационные объекты субъектов предпринимательства, указатели, информационные дорожные модули, используемые как составные части благоустройства.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здания, строения,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 – внешний облик здания, строения, сооружения, созданный на основе архитектурного проекта.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– формируется из исторически сложившегося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архитектурного облика, улиц,  архитектурного облика зданий, сооружений, малых архитектурных форм, а также объектов, которые ввиду своих художественных, конструктивных или иных качеств концентрируют на себе внимание зрителя, а также формируют зрительные архитектурные акценты, составляющие художественное своеобразие.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Крупногабаритный мусор (КГМ)</w:t>
      </w:r>
      <w:r>
        <w:rPr>
          <w:rFonts w:ascii="Times New Roman" w:hAnsi="Times New Roman" w:cs="Times New Roman"/>
          <w:sz w:val="28"/>
          <w:szCs w:val="28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свойства, не помещающиеся по габаритам в стандартные контейнеры.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Контейнер </w:t>
      </w:r>
      <w:r>
        <w:rPr>
          <w:rFonts w:ascii="Times New Roman" w:hAnsi="Times New Roman" w:cs="Times New Roman"/>
          <w:sz w:val="28"/>
          <w:szCs w:val="28"/>
        </w:rPr>
        <w:t>- стандартная емкость для сбора ТБО вместимостью 0,75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Несанкционированная свалка мусора</w:t>
      </w:r>
      <w:r>
        <w:rPr>
          <w:rFonts w:ascii="Times New Roman" w:hAnsi="Times New Roman" w:cs="Times New Roman"/>
          <w:sz w:val="28"/>
          <w:szCs w:val="28"/>
        </w:rPr>
        <w:t xml:space="preserve"> - самовольный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Прилегающая территория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территория, непосредственно примыкающая к границам здания, сооружения, ограждения, к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 </w:t>
      </w:r>
      <w:proofErr w:type="gramEnd"/>
    </w:p>
    <w:p w:rsidR="00CA4D97" w:rsidRDefault="000A52D2" w:rsidP="004131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  </w:t>
      </w:r>
      <w:r w:rsidR="00CA4D97" w:rsidRPr="000A52D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Содержание</w:t>
      </w:r>
      <w:r w:rsidR="00CA4D97" w:rsidRPr="000A52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CA4D97" w:rsidRPr="000A52D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территории</w:t>
      </w:r>
      <w:r w:rsidR="00CA4D97">
        <w:rPr>
          <w:rFonts w:ascii="Arial" w:hAnsi="Arial" w:cs="Arial"/>
          <w:color w:val="333333"/>
          <w:shd w:val="clear" w:color="auto" w:fill="FFFFFF"/>
        </w:rPr>
        <w:t xml:space="preserve">  - </w:t>
      </w:r>
      <w:r w:rsidR="00CA4D97" w:rsidRPr="00CA4D9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комплекс мероприятий по поддержанию чистоты </w:t>
      </w:r>
      <w:r w:rsidR="00CA4D97" w:rsidRPr="00CA4D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 w:rsidR="00CA4D97" w:rsidRPr="00CA4D97">
        <w:rPr>
          <w:rFonts w:ascii="Times New Roman" w:hAnsi="Times New Roman" w:cs="Times New Roman"/>
          <w:sz w:val="28"/>
          <w:szCs w:val="28"/>
          <w:shd w:val="clear" w:color="auto" w:fill="FFFFFF"/>
        </w:rPr>
        <w:t> любого типа, независимо от ее размера, предназначения и характера покрытия.</w:t>
      </w:r>
    </w:p>
    <w:p w:rsidR="000A52D2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A4D97" w:rsidRPr="000A52D2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0A52D2">
        <w:rPr>
          <w:i/>
          <w:color w:val="000000"/>
          <w:sz w:val="28"/>
          <w:szCs w:val="28"/>
        </w:rPr>
        <w:t xml:space="preserve"> Летняя уборка территорий предусматривает: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подметание дорожных покрытий и тротуаров,  срезку газонов, уборку остановок общественного транспорта, погрузку и вывоз мусора и грунта, опиловка деревьев и кустарников;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поливку улиц в наиболее жаркое время дня для снижения пылеобразования и температуры дорожных покрытий;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механизированную и ручную уборку тротуаров:</w:t>
      </w:r>
    </w:p>
    <w:p w:rsidR="00B82073" w:rsidRPr="000A52D2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0A52D2">
        <w:rPr>
          <w:i/>
          <w:color w:val="000000"/>
          <w:sz w:val="28"/>
          <w:szCs w:val="28"/>
        </w:rPr>
        <w:t>Зимняя уборка территорий предусматривает: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сгребание и подметание снега, скалывание снега и льда, переброску и вывоз снега</w:t>
      </w:r>
      <w:r>
        <w:rPr>
          <w:color w:val="000000"/>
          <w:sz w:val="28"/>
          <w:szCs w:val="28"/>
        </w:rPr>
        <w:t>, обработка</w:t>
      </w:r>
      <w:r w:rsidRPr="00B82073">
        <w:rPr>
          <w:color w:val="000000"/>
          <w:sz w:val="28"/>
          <w:szCs w:val="28"/>
        </w:rPr>
        <w:t xml:space="preserve"> </w:t>
      </w:r>
      <w:proofErr w:type="spellStart"/>
      <w:r w:rsidRPr="00B82073">
        <w:rPr>
          <w:color w:val="000000"/>
          <w:sz w:val="28"/>
          <w:szCs w:val="28"/>
        </w:rPr>
        <w:t>противогололедными</w:t>
      </w:r>
      <w:proofErr w:type="spellEnd"/>
      <w:r w:rsidRPr="00B82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материалами </w:t>
      </w:r>
      <w:r w:rsidRPr="00B82073">
        <w:rPr>
          <w:color w:val="000000"/>
          <w:sz w:val="28"/>
          <w:szCs w:val="28"/>
        </w:rPr>
        <w:t>дорожных покрытий тротуаров</w:t>
      </w:r>
      <w:r>
        <w:rPr>
          <w:color w:val="000000"/>
          <w:sz w:val="28"/>
          <w:szCs w:val="28"/>
        </w:rPr>
        <w:t>, дорог  и дворов.</w:t>
      </w:r>
      <w:r w:rsidRPr="00B82073">
        <w:rPr>
          <w:color w:val="000000"/>
          <w:sz w:val="28"/>
          <w:szCs w:val="28"/>
        </w:rPr>
        <w:t xml:space="preserve"> 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Не допускается формирование снежных валов: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на пересечении улиц в зоне треугольников видимости;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lastRenderedPageBreak/>
        <w:t>- на расстоянии ближе 5 м от пешеходных переходов;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Механизированная уборка тротуаров и закрепленных территорий должна сочетаться с ручной уборкой. Необходимо, чтобы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иметь ровную поверхность, в условиях гололеда должны быть посыпаны песком.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 При пересечении тротуара с проезжей частью на пешеходных переходах вал, образовавшийся после прохождения снегоуборочной техники, должен быть убран.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Запрещается: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производство работ по уборке снега и льда с крыш зданий без установки ограждения территории;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организация снежных свалок в местах, не отведенных для этих целей;</w:t>
      </w:r>
    </w:p>
    <w:p w:rsidR="00413102" w:rsidRPr="000A52D2" w:rsidRDefault="00B82073" w:rsidP="000A52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приваливать снег и лед к стенам зданий.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Элементы благоустройства территории</w:t>
      </w:r>
      <w:r w:rsidR="002476D7">
        <w:rPr>
          <w:rFonts w:ascii="Times New Roman" w:hAnsi="Times New Roman" w:cs="Times New Roman"/>
          <w:b/>
          <w:sz w:val="28"/>
          <w:szCs w:val="28"/>
        </w:rPr>
        <w:t xml:space="preserve"> и порядок содержания благоустройства, озеленения и уборки территории.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Элементы инженерной подготовки и защиты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водоотвода, использование вытесняемых грунтов на площадке строительства.</w:t>
      </w:r>
    </w:p>
    <w:p w:rsidR="00413102" w:rsidRDefault="00413102" w:rsidP="0041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 Озеленение.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Озеленение - элемент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объёмно-пространственная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tbl>
      <w:tblPr>
        <w:tblW w:w="9445" w:type="dxa"/>
        <w:tblCellSpacing w:w="15" w:type="dxa"/>
        <w:tblInd w:w="30" w:type="dxa"/>
        <w:tblLook w:val="00A0"/>
      </w:tblPr>
      <w:tblGrid>
        <w:gridCol w:w="3195"/>
        <w:gridCol w:w="6250"/>
      </w:tblGrid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 На территории населенных пунктов устанавливаются следующие доли цветников на озелененных территориях вновь проектируемых объектов рекреации (в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процентах):</w:t>
            </w: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объектов рекреации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Удельный вес цветников от площади озеленения   объектов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2,0-2,5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2,5-3,0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4,0-5,0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3,0-4,0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не менее половины от площади цветника формируются из многолетников. </w:t>
            </w:r>
          </w:p>
        </w:tc>
      </w:tr>
    </w:tbl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участков, на которых находятся зеленые насаждения, обязаны  обеспечить целевое назначение зеленых насаждений.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зеленых насаждений  для любых иных целей, в том числе расклеивания, размещения, крепления афиш, объявлений, иной малоформатной  информации, в том числе рекламной.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 Виды покрытий.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Покрытия поверхности обеспечивают на территории 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твердые</w:t>
      </w:r>
      <w:r>
        <w:rPr>
          <w:rFonts w:ascii="Times New Roman" w:hAnsi="Times New Roman" w:cs="Times New Roman"/>
          <w:sz w:val="28"/>
          <w:szCs w:val="28"/>
        </w:rPr>
        <w:t xml:space="preserve"> (капитальные) - 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газонные</w:t>
      </w:r>
      <w:r>
        <w:rPr>
          <w:rFonts w:ascii="Times New Roman" w:hAnsi="Times New Roman" w:cs="Times New Roman"/>
          <w:sz w:val="28"/>
          <w:szCs w:val="28"/>
        </w:rPr>
        <w:t>, выполняемые по специальным технологиям подготовки и посадки травяного покрова;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комбинированные</w:t>
      </w:r>
      <w:r>
        <w:rPr>
          <w:rFonts w:ascii="Times New Roman" w:hAnsi="Times New Roman" w:cs="Times New Roman"/>
          <w:sz w:val="28"/>
          <w:szCs w:val="28"/>
        </w:rPr>
        <w:t>, представляющие сочетания покрытий, указанных выше (например, плитка, утопленная в газон и т.п.).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Вид покрытия определяется  при проведении проектирования объекта и является обязательным условием ввода объекта в эксплуатацию.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Правообладатель земельного участка, а также лица, у которого в соответствии с действующим законодательством, муниципальными правовыми актами или договором существует обязанность по уборке или благоустройству этой территории, обязан обеспечить содержание покрытия в состоянии, которое было на момент ввода объекта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естественного износа. Возникшие повреждения покрытия должны быть устранены в 10-дневный срок, за исключением твердых покрытий, поврежденных в результате погодных условий в зимний период, которые должны быть восстановлены не позднее  1 мая.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Для деревьев, расположенных в мощении, при отсутствии иных видов защиты (приствольных решеток, бордюров,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скамеек и пр.) должны выполняться защитные виды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территорий, согласованной  органом исполнительной власти.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 Сопряжения поверхностей.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Бортовые камни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Ступени, лестницы, пандусы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При уклонах пешеходных коммуникаций более 6% предусматривается 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5%,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При проектировании открытых лестниц на перепадах рельефа высоту ступеней рекомендуется назначать не более 120 мм, ширину - не менее 400 мм и уклон 1-2% в сторону вышележащей ступени. После каждых 10-12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 высота ступеней может быть увеличена до 150 мм, а ширина ступеней и длина площадки - уменьшена до 300 мм и 1,0 м соответственно.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2.5. Ограждения.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на территории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2.5.2. Проектирование ограждений рекомендуется производить в зависимости от их местоположения и назначения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На территориях общественного, жилого, рекреационного назначения не рекомендуется проектирование глухих и железобетонных ограждений. Рекомендуется применение декоративных металлических ограждений.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Рекомендуется предусматривать размещение защитных металлических ограждений высотой не менее 0,5 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рекомендуется размещать на территории газона с отступом от границы примыкания порядка 0,2-0,3 м.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 Запрещается использование ограждений, установленных на магистральных улицах, для расклеивания,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2.6. Малые архитектурные формы.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r:id="rId5" w:anchor="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вертикального озеленения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водные устройства, городская мебель, коммунально-бытовое и техническое оборудование на территории города Курска.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Запрещается использование малых архитектурных форм для 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Устройства для оформления озеленения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устройств и сооружений.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Водные устройства</w:t>
      </w:r>
    </w:p>
    <w:p w:rsidR="00413102" w:rsidRDefault="00413102" w:rsidP="0041310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Качество воды в родниках на территории должно контролироваться в плановом порядке. На особо охраняемых территориях природного комплекса для обустройства родников требуется согласие уполномоченных органов природопользования и охраны окружающей среды. Родники должны быть оборудованы подходом 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413102" w:rsidRDefault="00413102" w:rsidP="0041310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коммунально-бытовое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 Установка уличного коммунально-бытового оборудования должна осуществляться на твердые виды покрытия или фундамент. В зонах отдыха, лесопарках, детских площадках может допускаться установка уличного коммунально-бытового оборудования  на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2.6.8. Для сбора бытового мусора на улицах, площадях применяются малогабаритные (малые) контейнеры (менее 0,5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(или) урны, устанавливаемые у входов: в объекты торговли и общественного питания, другие учреждения общественного назначения, жилые дома и сооружения транспорта. Интервал при расстановке малых контейнеров и урн (без учета обязательной расстановки у вышеперечисленных объектов)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составлять: на основных пешеходных коммуникациях - не более 60 м, других территориях  - не более 100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контейнеры и урны устанавливаются у скамей, нестационарных (некапитальных)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2.6.9. Собственники объектов, указанных  в пункте 2.6.11 настоящих правил, обязаны обеспечить установку контейнеров и урн, их надлежащее содержание, своевременную уборку, не допуская их переполнение и загрязнение территории.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техническое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2.6.10. 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 смотровые люки, решетки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2.6.11. Установка уличного технического оборудования должна обеспечивать удобный подход к оборудованию и соответствовать разделу 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59/13330/2012.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монетоприемника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покрытия составлял 1,3 м; уровень приемного отверстия почтового ящика рекомендуется располагать от уровня покрытия на высоте 1,3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 выполнять оформление элементов инженерного оборудования, не нарушающих уровень благоустройства формируемой среды, ухудшающих условия передвижения, противоречащей техническим условиям, в том числе: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2.6.14. Уличное техническое оборудование  устанавливается только на твердые виды покрытия или фундамент. Установка на мягкие виды покрытий не допускается.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2.6.15. Установка уличного технического оборудования на газонах, клумбах, цветниках запрещена.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2.7. Игровое и спортивное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Игровое и спортивное оборудование на территории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которые должны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2.7.5. Установлены следующие минимальные расстояния безопасности при размещении игрового оборудования на детских игровых площадках:</w:t>
      </w:r>
    </w:p>
    <w:tbl>
      <w:tblPr>
        <w:tblW w:w="0" w:type="auto"/>
        <w:tblCellSpacing w:w="15" w:type="dxa"/>
        <w:tblLook w:val="00A0"/>
      </w:tblPr>
      <w:tblGrid>
        <w:gridCol w:w="2151"/>
        <w:gridCol w:w="7067"/>
      </w:tblGrid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Игровое оборудование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Минимальные расстояния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1,5 м в стороны от боковых конструкций и не менее 2,0 м вперед (назад) от крайних точек качели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Качалки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1,0 м в стороны от боковых конструкций и не менее 1,5 м вперед от крайних точек качалки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 м в стороны от боковых конструкций и не менее 3 м вверх от нижней вращающейся поверхности карусели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 м от боковых сторон и 2 м вперед от нижнего края ската горки. </w:t>
            </w:r>
          </w:p>
        </w:tc>
      </w:tr>
    </w:tbl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2.8. Освещение и осветительное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задач, в т.ч. при необходимости светоцветового зонирования территорий  и формирования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23-05);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Функциональное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зонах, дворовых и иных территорий. Установки ФО, как правило,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территориях как наиболее традиционные.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В парапетных установках светильники рекомендуется встраивать линией или пунктиром в парапет высотой до 1,2 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2.8.8. Собственники зданий, строений, сооружений, правообладатели земельных участков обязаны обеспечить их функциональное освещение объектов и земельных участков. Восстановление вышедших из строя объектов функционального освещения осуществляется указанными лицами не долее чем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Архитектурное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2.8.9. Архитектурное освещение (АО)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ансамблей, иных зданий, строений, сооружений.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2.8.10. К временным установкам АО относится праздничная иллюминация: световые гирлянды, сетки, контурные обтяжки,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 Объекты капитального строительства должны быть обеспечены фасадным архитектурным освещением по проекту. Данное требование не распространяется на многоквартирные жилые дома.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Световая информация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2.8.13.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Источники света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 В стационарных установках ФО и АО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2.8.15. Источники света в установках ФО рекомендуется выбирать с учетом требований улучшения ориентации, формирования благоприятных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зрительных условий, а также, в случае необходимости, светоцветового зонирования.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 или световом ансамбле.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Освещение транспортных и пешеходных зон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2.8.17. В установках ФО транспортных и </w:t>
      </w:r>
      <w:hyperlink r:id="rId6" w:anchor="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пешеходных зон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светораспределением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2.8.18.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2.8.19.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 проезжей частью улиц, дорог и площадей светильники на опорах рекомендуется устанавливать на высоте не менее 8 м. В пешеходных зонах высота установки светильников на опорах может приниматься, как правило, не менее 3,5 м и не более 5,5 м. Светильники (бра, плафоны) для освещения проездов, тротуаров и площадок, расположенных у зданий, рекомендуется устанавливать на высоте не менее 3 м.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 магистральных улиц (общегородских и районных) могут располагаться на расстоянии не менее 0,6 м от лицевой грани бортового камня до цоколя опоры, на уличной сети местного значения это расстояние допускается уменьшать до 0,3 м при условии отсутствия автобусного или троллейбусного движения, а также регулярного движения грузовых машин.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 Опоры на пересечениях магистральных улиц и дорог, как правило, устанавливаются до начала закругления тротуаров и не ближе 1,5 м от различного рода въездов, не нарушая единого строя линии их установки.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Режимы работы осветительных установок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2.8.23.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 лк. Отключение рекомендуется производить: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установок АО - в соответствии с правовыми актами,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и т.п.) установки АО могут функционировать от заката до рассвета;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2.9. Наружная реклама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при наличии разрешения на установку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рекламной конструкции, выданного Администрацией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2.9.2. При присоединении рекламных конструкций к фасадам зданий  должны быть соблюдены ограничения и требования к содержанию зданий и фасадов, установленные настоящими Правилами.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2.9.3. При  размещении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обеспечено благоустройство территории в радиусе не менее 10 метров от места  размещения рекламной конструкции.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Ответственность за выполнение пунктов 2.9.2, 2.9.3, несут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собственники имущества, к которому присоединена рекламная конструкция.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Размещение информации, в том числе рекламной, а также объявлений на зеленых насаждениях запрещено.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размещение объявлений и информации, в том числе рекламной, несет как лицо, непосредственно разместившее объявление или информацию, в том числе рекламную, так и лицо, в интересах которого размещены объявление или информация, в том числе рекламную.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2.10. Нестационарные (некапитальные) сооружения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Нестационарными </w:t>
      </w:r>
      <w:r>
        <w:rPr>
          <w:rFonts w:ascii="Times New Roman" w:hAnsi="Times New Roman" w:cs="Times New Roman"/>
          <w:bCs/>
          <w:sz w:val="28"/>
          <w:szCs w:val="28"/>
        </w:rPr>
        <w:t>(некапитальными)</w:t>
      </w:r>
      <w:r>
        <w:rPr>
          <w:rFonts w:ascii="Times New Roman" w:hAnsi="Times New Roman" w:cs="Times New Roman"/>
          <w:sz w:val="28"/>
          <w:szCs w:val="28"/>
        </w:rPr>
        <w:t xml:space="preserve"> являются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(мобильные) сооружения – это киоски, павильоны, рекламные конструкции, остановочные павильоны, наземные туалетные кабины, гаражи, передвижные объекты потребительского рынка и иные аналогичные сооружения), не являющиеся объектами недвижимости, устанавливаемые на определенной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быстрого изменения характера использования данной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несоразмерного ущерба назначению объектов при их перемещении, время функционирования которых на данном участке предварительно было определено владельцем земельного участка на ограниченный срок.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Отделочные материалы нестационарных (некапитальных)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 и условиям долговременной эксплуатации. При остеклении витрин рекомендуется применять безосколочные,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материалы,  безопасные упрочняющие многослойные пленочные покрытия, поликарбонатные стекла.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Нестационарные (некапитальные) сооружения не должны нарушать архитектурный облик, создавать препятствия для целостного визуального восприятия фасадов зданий, объектов благоустройства, памятников и монументов, доминантных объектов архитектуры. При размещении нестационарных (некапитальных) сооружений в границах охранных зон зарегистрированных памятников культурного наследия </w:t>
      </w:r>
      <w:r>
        <w:rPr>
          <w:rFonts w:ascii="Times New Roman" w:hAnsi="Times New Roman" w:cs="Times New Roman"/>
          <w:sz w:val="28"/>
          <w:szCs w:val="28"/>
        </w:rPr>
        <w:lastRenderedPageBreak/>
        <w:t>(природы) и в зонах особо охраняемых природных территорий города параметры сооружений (высота, ширина, протяженность),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нестационарных (некапитальных) сооружений на территории,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 и благоустройство территории и застройки. 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Не допускается размещение нестационарных (некапитальных) сооружений  в арках зданий, на газонах, площадках (детских, отдыха, спортивных, транспортных стоянок), посадочных площадках городского пассажирского транспорта, а также ближе 10 м от остановочных павильонов.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Не допускается размещение информации, в том числе рекламной, на нестационарных (некапитальных) объектах, за исключением вывесок хозяйствующих субъектов, осуществляющих предпринимательскую деятельность в нестационарных (некапитальных) объектах, с обязательной информацией, установленной Федеральным законом «О защите прав потребителей».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2.11. Требования к оформлению и оборудованию зданий и сооружений, содержанию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домовых знаков, защитных сеток, информационных и рекламных конструкций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На зданиях и сооружения должны быть размещены  адресные указатели с наименованием улицы и номера домовладения. На многоквартирных жилых домах также должны быть установлены указатели номера подъезда и квартир.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Здания и сооружения должны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определённом при их проектировании.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изменять цветовое решение фасадов;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фасадах зданий вдоль магистральных улиц кондиционеры и антенн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«тарелки», иные установки, за исключением размещения указанных объектов в помещениях, не имеющих стен на дворовые фасады;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информационные и рекламные конструкции совокупной площадью более 10 % площади фасада (включая оконные проемы и витрины) на фасадах объектов коммерческого назначения;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информационные и рекламные конструкции на торцевых (боковых) фасадах зданий и сооружений,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цвето-графическую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отделку, предусмотренную проектом здания;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рекламно-информационное оформление окон и витрин зданий и сооружений с наружной стороны фасада;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входные группы зданий жилого и общественного назначения непосредственно с выходом на пешеходный тротуар, если при этом ширина пешеходной части тротуара станет менее ширины, предусмотренной Правилами землепользования и застройки  для данной категории дороги или улицы. При механизированных способах очистки тротуаров минимальную ширину тротуаров следует принимать 3 метра;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прилегающих к зданиям земельных участках нестационарные (некапитальные) сооружения, нарушающие архитектурный облик зданий, создающие препятствия для целостного восприятия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Для обеспечения поверхностного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водоотовода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зданий и сооружений по их периметру рекомендуется предусматривать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10% в сторону от здания.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зданий и сооружений рекомендуется принимать 0,8-1,2 м, в сложных геологических условиях (грунты с карстами) - 1,5-3 м. В случае примыкания здания к пешеходным коммуникациям,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твердым видом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При организации стока воды со скатных крыш через водосточные трубы рекомендуется: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трубы более 200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2.11.6.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годов,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обогреваемого электрического контура по внешнему периметру крыши.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2.12.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На территории 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Детские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микро-скалодромы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 м, младшего и среднего школьного возраста - не менее 20 м, комплексных игровых площадок - не менее 40 м, спортивно-игровых комплексов - не менее 100 м. Детские площадки для дошкольного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Площадки для игр детей на территориях жилого назначения рекомендуется проектировать из расчета 0,5-0,7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Площадки для игр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(50-75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размещаться отдельно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совмещаться с площадками для тихого отдыха взрослых - в этом случае общую площадь площадки рекомендуется устанавливать не менее 80 кв.м.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 Оптимальный размер игровых площадок рекомендуется устанавливать для детей дошкольного возраста - 70-150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- 100-300 кв.м, комплексных игровых площадок - 900-1600 кв.м. При этом возможно объединение площадок дошкольного возраста с площадками отдыха взрослых (размер площадки - не менее 150 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 В условиях исторической или высокоплотной застройки размеры площадок могут отклоняться на 40 %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2.12.8.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площадок мусоросборников - 15 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 маршрутов  транспорта - не менее 50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 При реконструкции детских площадок, во избежание травматизма,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 Обязательный перечень </w:t>
      </w:r>
      <w:hyperlink r:id="rId7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 местах,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</w:t>
      </w:r>
      <w:r>
        <w:rPr>
          <w:rFonts w:ascii="Times New Roman" w:hAnsi="Times New Roman" w:cs="Times New Roman"/>
          <w:sz w:val="28"/>
          <w:szCs w:val="28"/>
        </w:rPr>
        <w:lastRenderedPageBreak/>
        <w:t>к оборудованию с твердым, мягким или комбинированным видами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2.12.12. Собственники (балансодержатели) детских площадок или объектов, составляющих детскую площадку, обязаны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отдыха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2.12.13.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группы, в парках и лесопарках.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2.2.1/2.1.1.1200,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 маршрутов  транспорта - не менее 50 м. Расстояние от окон жилых домов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 площадок тихого отдыха следует устанавливать не менее 10 м, площадок шумных настольных игр - не менее 25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2.12.14. Площадки отдыха на жилых территориях следует проектировать из расчета 0,1-0,2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жителя. Оптимальный размер площадки 50-100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минимальный размер площадки отдыха - не менее 15-20 кв.м. Допускается совмещение площадок тихого отдыха с детскими площадками.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2.12.15.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2.12.16.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2.12.17. Собственники (балансодержатели) площадок отдыха или объектов, составляющих площадку отдыха, обязаны обеспечить надлежащее содержание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Спортивные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2.12.18. 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2.2.1/2.1.1.1200.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2.12.19.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(100 детей) - не менее 250 кв.м.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2.12.20. Обязательный перечень </w:t>
      </w:r>
      <w:hyperlink r:id="rId8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2.12.21. Собственники (балансодержатели) спортивных площадок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объектов, составляющих спортивную площадку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для установки мусоросборников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2.12.22.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2.12.23.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рекомендуется располагать в зоне затенения (прилегающей застройкой, навесами или посадками зеленых насаждений).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2.12.24. Размер площадки на один контейнер рекомендуется принимать - 2-3 кв.м. Между контейнером и краем площадки размер прохода рекомендуется устанавливать не менее 1,0 м, между контейнерами - не менее 0,35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2.12.25.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ТБО. Рекомендуется проектировать освещение и озеленение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2.12.26. Покрытие площадки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2.12.27.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2.12.28. Контейнерная площадка должна иметь ограждение с трех сторон высотой не менее 1,6 метра, не допускающее попадание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согласованным в установленном порядке.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2.12.29. На каждом контейнере должна быть размещена информация о его балансодержателе (наименование и юридический адрес).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2.12.30. Балансодержатель контейнеров обязан обеспечить надлежащее состояние и уборку контейнерной площадки и прилегающей территории к ней в радиусе 10 метров, если иное не предусмотрено договором на вывоз твердых бытовых отходов.</w:t>
      </w:r>
    </w:p>
    <w:p w:rsidR="00F7633A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2.12.31.Вывоз и захоронение твердых отходов должны осуществляться специализированными организациями, предприятиями различной формы собственности, осуществляющими оказание услуг по вывозу и захоронению отходов, а также имеющими в случаях, установленных действующим законодательством, соответствующую лицензию.</w:t>
      </w:r>
    </w:p>
    <w:p w:rsidR="00F7633A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2.12.32. Захоронение твердых бытовых отходов должно производиться только на специальных полигонах. Доставка жидких бытовых отходов должна производиться на сливные станции.</w:t>
      </w:r>
    </w:p>
    <w:p w:rsidR="00F7633A" w:rsidRDefault="00F7633A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автостоянок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На уличных парковках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осветительное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информационное оборудование является не обязательным.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2.12.33. Покрытие площадок рекомендуется проектировать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2.12.34. Сопряжение покрытия площадки с проездом рекомендуется выполнять в одном уровне без укладки бортового камня, с газоном - в соответствии с </w:t>
      </w:r>
      <w:hyperlink r:id="rId9" w:anchor="24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2.4.3</w:t>
        </w:r>
      </w:hyperlink>
      <w:r>
        <w:rPr>
          <w:rFonts w:ascii="Times New Roman" w:hAnsi="Times New Roman" w:cs="Times New Roman"/>
          <w:sz w:val="28"/>
          <w:szCs w:val="28"/>
        </w:rPr>
        <w:t> настоящих Правил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2.12.35.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2.12.36. Не допускается проектирование автостоянок, размещение временных автостоянок за счет сноса зеленых насаждений, газонов или уменьшения площади озелененных территорий.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Раздел 3.Прилегающая территория</w:t>
      </w:r>
    </w:p>
    <w:p w:rsid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D97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 xml:space="preserve">Закрепление территорий за предприятиями, организациями и учреждениями для организации работ по уборке и благоустройству производится администрацией сельсовета  по согласованию с предприятиями, организациями, учреждениями. Содержание, благоустройство и уборка территории обеспечиваются юридическими и физическими лицами на </w:t>
      </w:r>
      <w:r w:rsidR="00B82073">
        <w:rPr>
          <w:rFonts w:ascii="Times New Roman" w:hAnsi="Times New Roman" w:cs="Times New Roman"/>
          <w:sz w:val="28"/>
          <w:szCs w:val="28"/>
        </w:rPr>
        <w:t xml:space="preserve">закрепленных и </w:t>
      </w:r>
      <w:r w:rsidRPr="00F7633A">
        <w:rPr>
          <w:rFonts w:ascii="Times New Roman" w:hAnsi="Times New Roman" w:cs="Times New Roman"/>
          <w:sz w:val="28"/>
          <w:szCs w:val="28"/>
        </w:rPr>
        <w:t>принадлежащих им земельных у</w:t>
      </w:r>
      <w:r w:rsidR="00CA4D97">
        <w:rPr>
          <w:rFonts w:ascii="Times New Roman" w:hAnsi="Times New Roman" w:cs="Times New Roman"/>
          <w:sz w:val="28"/>
          <w:szCs w:val="28"/>
        </w:rPr>
        <w:t>частках и объектах недвижимости.</w:t>
      </w:r>
    </w:p>
    <w:p w:rsidR="00E7246B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 xml:space="preserve">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3.1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  <w:r w:rsidR="00E7246B" w:rsidRPr="00E7246B">
        <w:rPr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 xml:space="preserve"> границе прилегающей территории могут располагаться следующие территории общего пользования или их части:</w:t>
      </w:r>
      <w:r w:rsidR="00E7246B" w:rsidRPr="00E7246B">
        <w:rPr>
          <w:spacing w:val="1"/>
          <w:sz w:val="28"/>
          <w:szCs w:val="28"/>
        </w:rPr>
        <w:br/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lastRenderedPageBreak/>
        <w:t>1) пешеходные коммуникации, в том числе тротуары, аллеи, дорожки, тропинки;</w:t>
      </w:r>
      <w:r w:rsidRPr="00F7633A">
        <w:rPr>
          <w:rFonts w:ascii="Times New Roman" w:hAnsi="Times New Roman" w:cs="Times New Roman"/>
          <w:spacing w:val="1"/>
          <w:sz w:val="28"/>
          <w:szCs w:val="28"/>
        </w:rPr>
        <w:br/>
        <w:t>2)</w:t>
      </w:r>
      <w:proofErr w:type="spellStart"/>
      <w:r w:rsidRPr="00F7633A">
        <w:rPr>
          <w:rFonts w:ascii="Times New Roman" w:hAnsi="Times New Roman" w:cs="Times New Roman"/>
          <w:spacing w:val="1"/>
          <w:sz w:val="28"/>
          <w:szCs w:val="28"/>
        </w:rPr>
        <w:t>палисадники</w:t>
      </w:r>
      <w:proofErr w:type="gramStart"/>
      <w:r w:rsidRPr="00F7633A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к</w:t>
      </w:r>
      <w:proofErr w:type="gram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лумбы</w:t>
      </w:r>
      <w:proofErr w:type="spell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;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7246B" w:rsidRPr="000A52D2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 w:rsidRPr="000A52D2">
        <w:rPr>
          <w:spacing w:val="1"/>
          <w:sz w:val="28"/>
          <w:szCs w:val="28"/>
        </w:rPr>
        <w:t>3.3</w:t>
      </w:r>
      <w:proofErr w:type="gramStart"/>
      <w:r w:rsidRPr="000A52D2">
        <w:rPr>
          <w:spacing w:val="1"/>
          <w:sz w:val="28"/>
          <w:szCs w:val="28"/>
        </w:rPr>
        <w:t xml:space="preserve"> В</w:t>
      </w:r>
      <w:proofErr w:type="gramEnd"/>
      <w:r w:rsidRPr="000A52D2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надземных линейных объектов инженерной инфраструктуры - 5 метров по обе стороны;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3) для земельных участков, предназначенных для строительства объектов капитального строительства,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4) для хозяйствующих субъектов, являющихся правообладателями земельных участков,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5) для гаражно-строительных кооперативов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7) 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9) для территории ведения гражданами садоводства или огородничества для собственных нужд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lastRenderedPageBreak/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3.4</w:t>
      </w:r>
      <w:proofErr w:type="gramStart"/>
      <w:r w:rsidR="00BE7A9C">
        <w:rPr>
          <w:spacing w:val="1"/>
          <w:sz w:val="28"/>
          <w:szCs w:val="28"/>
        </w:rPr>
        <w:t xml:space="preserve"> </w:t>
      </w:r>
      <w:r w:rsidRPr="00E7246B">
        <w:rPr>
          <w:spacing w:val="1"/>
          <w:sz w:val="28"/>
          <w:szCs w:val="28"/>
        </w:rPr>
        <w:t xml:space="preserve"> В</w:t>
      </w:r>
      <w:proofErr w:type="gramEnd"/>
      <w:r w:rsidRPr="00E7246B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E7246B" w:rsidRPr="000A52D2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proofErr w:type="gramStart"/>
      <w:r w:rsidRPr="00E7246B">
        <w:rPr>
          <w:spacing w:val="1"/>
          <w:sz w:val="28"/>
          <w:szCs w:val="28"/>
        </w:rPr>
        <w:t>2) для хозяйствующих субъектов, не указанных пункте 1 настоящей части, - 40 метров;</w:t>
      </w:r>
      <w:r w:rsidRPr="00E7246B">
        <w:rPr>
          <w:spacing w:val="1"/>
          <w:sz w:val="28"/>
          <w:szCs w:val="28"/>
        </w:rPr>
        <w:br/>
        <w:t>3) для индивидуальных жилых домов - 20 метров;</w:t>
      </w:r>
      <w:r w:rsidRPr="00E7246B">
        <w:rPr>
          <w:spacing w:val="1"/>
          <w:sz w:val="28"/>
          <w:szCs w:val="28"/>
        </w:rPr>
        <w:br/>
        <w:t>4) для индивидуальных жилых домов, расположенных на пересечении улиц, проездов, переулков, - 20 метров;</w:t>
      </w:r>
      <w:proofErr w:type="gramEnd"/>
      <w:r w:rsidRPr="00E7246B">
        <w:rPr>
          <w:spacing w:val="1"/>
          <w:sz w:val="28"/>
          <w:szCs w:val="28"/>
        </w:rPr>
        <w:br/>
        <w:t>5) для гаражно-строительных кооперативов - 40 метров.</w:t>
      </w:r>
      <w:r w:rsidRPr="00E7246B">
        <w:rPr>
          <w:spacing w:val="1"/>
          <w:sz w:val="28"/>
          <w:szCs w:val="28"/>
        </w:rPr>
        <w:br/>
      </w:r>
      <w:r w:rsidRPr="000A52D2">
        <w:rPr>
          <w:spacing w:val="1"/>
          <w:sz w:val="28"/>
          <w:szCs w:val="28"/>
        </w:rPr>
        <w:t>3.5</w:t>
      </w:r>
      <w:proofErr w:type="gramStart"/>
      <w:r w:rsidRPr="000A52D2">
        <w:rPr>
          <w:spacing w:val="1"/>
          <w:sz w:val="28"/>
          <w:szCs w:val="28"/>
        </w:rPr>
        <w:t xml:space="preserve">  В</w:t>
      </w:r>
      <w:proofErr w:type="gramEnd"/>
      <w:r w:rsidRPr="000A52D2">
        <w:rPr>
          <w:spacing w:val="1"/>
          <w:sz w:val="28"/>
          <w:szCs w:val="28"/>
        </w:rPr>
        <w:t xml:space="preserve">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  <w:r w:rsidRPr="000A52D2">
        <w:rPr>
          <w:spacing w:val="1"/>
          <w:sz w:val="28"/>
          <w:szCs w:val="28"/>
        </w:rPr>
        <w:br/>
      </w:r>
      <w:r w:rsidRPr="00E7246B">
        <w:rPr>
          <w:spacing w:val="1"/>
          <w:sz w:val="28"/>
          <w:szCs w:val="28"/>
        </w:rPr>
        <w:t>1) для индивидуальных жилых домов - 20 метров;</w:t>
      </w:r>
      <w:r w:rsidRPr="00E7246B">
        <w:rPr>
          <w:spacing w:val="1"/>
          <w:sz w:val="28"/>
          <w:szCs w:val="28"/>
        </w:rPr>
        <w:br/>
        <w:t>2) для индивидуальных жилых домов, расположенных на пересечении улиц, проездов, переулков, - 20 метров.</w:t>
      </w: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3.6</w:t>
      </w:r>
      <w:proofErr w:type="gramStart"/>
      <w:r w:rsidRPr="00E7246B">
        <w:rPr>
          <w:spacing w:val="1"/>
          <w:sz w:val="28"/>
          <w:szCs w:val="28"/>
        </w:rPr>
        <w:t xml:space="preserve"> П</w:t>
      </w:r>
      <w:proofErr w:type="gramEnd"/>
      <w:r w:rsidRPr="00E7246B">
        <w:rPr>
          <w:spacing w:val="1"/>
          <w:sz w:val="28"/>
          <w:szCs w:val="28"/>
        </w:rPr>
        <w:t xml:space="preserve">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</w:t>
      </w:r>
      <w:r w:rsidR="002357A8">
        <w:rPr>
          <w:spacing w:val="1"/>
          <w:sz w:val="28"/>
          <w:szCs w:val="28"/>
        </w:rPr>
        <w:t xml:space="preserve"> разделе 3 настоящих правил.</w:t>
      </w:r>
    </w:p>
    <w:p w:rsidR="00413102" w:rsidRDefault="00BE7A9C" w:rsidP="004131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3.7  </w:t>
      </w:r>
      <w:r w:rsidR="002357A8">
        <w:rPr>
          <w:sz w:val="28"/>
          <w:szCs w:val="28"/>
        </w:rPr>
        <w:t xml:space="preserve">Организациям, управляющим жилищным фондом, иным юридическим </w:t>
      </w:r>
      <w:r w:rsidR="00413102">
        <w:rPr>
          <w:sz w:val="28"/>
          <w:szCs w:val="28"/>
        </w:rPr>
        <w:t>лица</w:t>
      </w:r>
      <w:r w:rsidR="002357A8">
        <w:rPr>
          <w:sz w:val="28"/>
          <w:szCs w:val="28"/>
        </w:rPr>
        <w:t>м</w:t>
      </w:r>
      <w:r w:rsidR="00413102">
        <w:rPr>
          <w:sz w:val="28"/>
          <w:szCs w:val="28"/>
        </w:rPr>
        <w:t xml:space="preserve">, </w:t>
      </w:r>
      <w:r w:rsidR="002357A8">
        <w:rPr>
          <w:sz w:val="28"/>
          <w:szCs w:val="28"/>
        </w:rPr>
        <w:t>индивидуальным предпринимателям, собственникам</w:t>
      </w:r>
      <w:r w:rsidR="00413102">
        <w:rPr>
          <w:sz w:val="28"/>
          <w:szCs w:val="28"/>
        </w:rPr>
        <w:t xml:space="preserve"> индивидуальных жилых домов и земельных участков </w:t>
      </w:r>
      <w:r w:rsidR="002357A8">
        <w:rPr>
          <w:sz w:val="28"/>
          <w:szCs w:val="28"/>
        </w:rPr>
        <w:t xml:space="preserve">в соответствии с Федеральным законом от 24.06.1998 №89-ФЗ «Об отходах производства и потребления» необходимо </w:t>
      </w:r>
      <w:r w:rsidR="00413102">
        <w:rPr>
          <w:sz w:val="28"/>
          <w:szCs w:val="28"/>
        </w:rPr>
        <w:t xml:space="preserve"> заключи</w:t>
      </w:r>
      <w:r w:rsidR="002357A8">
        <w:rPr>
          <w:sz w:val="28"/>
          <w:szCs w:val="28"/>
        </w:rPr>
        <w:t xml:space="preserve">ть </w:t>
      </w:r>
      <w:r w:rsidR="00413102">
        <w:rPr>
          <w:sz w:val="28"/>
          <w:szCs w:val="28"/>
        </w:rPr>
        <w:t xml:space="preserve"> договор на вывоз и размещение отходов производства и потребления со специализированными организациями, имеющими лицензию на сбор, использование, обезвреживание, транспортировку, размещение отходов I - IV класса опасности или с другой</w:t>
      </w:r>
      <w:proofErr w:type="gramEnd"/>
      <w:r w:rsidR="00413102">
        <w:rPr>
          <w:sz w:val="28"/>
          <w:szCs w:val="28"/>
        </w:rPr>
        <w:t xml:space="preserve"> специализированной (не имеющей лицензии) организацией на вывоз и размещение отходов V класса опасности.</w:t>
      </w:r>
    </w:p>
    <w:p w:rsidR="00413102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413102">
        <w:rPr>
          <w:rFonts w:ascii="Times New Roman" w:hAnsi="Times New Roman" w:cs="Times New Roman"/>
          <w:sz w:val="28"/>
          <w:szCs w:val="28"/>
        </w:rPr>
        <w:t xml:space="preserve"> Собственники объектов мелкорозничной торговли, бытового обслуживания и питания обязаны обеспечить работу осветительного оборудования, установки урн возле объектов, своевременную уборку урн и малых контейнеров, а также благоустройство и своевременную уборку территории в радиус</w:t>
      </w:r>
      <w:r>
        <w:rPr>
          <w:rFonts w:ascii="Times New Roman" w:hAnsi="Times New Roman" w:cs="Times New Roman"/>
          <w:sz w:val="28"/>
          <w:szCs w:val="28"/>
        </w:rPr>
        <w:t>е 4</w:t>
      </w:r>
      <w:r w:rsidR="00413102">
        <w:rPr>
          <w:rFonts w:ascii="Times New Roman" w:hAnsi="Times New Roman" w:cs="Times New Roman"/>
          <w:sz w:val="28"/>
          <w:szCs w:val="28"/>
        </w:rPr>
        <w:t>0 метров от нестационарного объекта. Ответственность за уборку территории в радиусе 20 метров от нестационарного (некапитального) объекта мелкорозничной торговли несут лица, осуществляющие торговлю.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9C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="00413102">
        <w:rPr>
          <w:rFonts w:ascii="Times New Roman" w:hAnsi="Times New Roman" w:cs="Times New Roman"/>
          <w:sz w:val="28"/>
          <w:szCs w:val="28"/>
        </w:rPr>
        <w:t xml:space="preserve"> Размещение туалетных кабин рекомендуется предусматривать на активно посещаемых территориях населенного пункта 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нестационарных (некапитальных) сооружениях питания. 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 м. Туалетную кабину необходимо устанавливать на твердые виды покрытия.</w:t>
      </w:r>
    </w:p>
    <w:p w:rsidR="008D123B" w:rsidRDefault="008D123B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3B" w:rsidRDefault="008D123B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8D123B"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Санитарное содержание </w:t>
      </w: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территории муниципального образования. </w:t>
      </w:r>
    </w:p>
    <w:p w:rsidR="00AF15A7" w:rsidRDefault="00AF15A7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</w:pPr>
    </w:p>
    <w:p w:rsidR="00CD485F" w:rsidRDefault="00CD485F" w:rsidP="00CD48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4.1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</w:t>
      </w:r>
      <w:proofErr w:type="gramEnd"/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ри осущест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влении нового строительства,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реконструкции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, ремонта, капитального ремонта объектов капитального и некапитального строительства, линейных объектов,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ответственность за санитарное состояние прилегающей территории несут застройщики, землевладельцы.</w:t>
      </w:r>
    </w:p>
    <w:p w:rsidR="00CD485F" w:rsidRDefault="00CD485F" w:rsidP="00CD48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При зав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ершении работ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его собственник обязан восстановить нарушенные в процессе строительства подъездные пути и озеленение территории за свой счет.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Производитель работ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 порядке, установленном настоящими Правилами:</w:t>
      </w:r>
    </w:p>
    <w:p w:rsidR="00CD485F" w:rsidRDefault="00CD485F" w:rsidP="00AF15A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содержит в чистоте и порядке прилегающую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территорию;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обеспечивае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сохранно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сть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зеленых насаждений, надлежащий уход за ними и своевременный снос в установленном порядке;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обустраивает и содержи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выгреб для сбора жидких бытовых отходов в соответствии с требова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ниями законодательства, принимае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меры для предотвращения переполнения выгреба;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передачу отходов по договору со специализированной организацией;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производи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земляные работы на землях общего пользования в установленном порядке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обязательным получением разрешения (ордера) на производство земляных работ.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4.2 </w:t>
      </w:r>
      <w:r w:rsid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Содержание придомовых территорий многоквартирных домов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осуществляется в соответствии с </w:t>
      </w:r>
      <w:hyperlink r:id="rId10" w:history="1">
        <w:r w:rsidR="008D123B" w:rsidRPr="008D123B">
          <w:rPr>
            <w:rStyle w:val="a4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Правилами содержания общего имущества в многоквартирном доме</w:t>
        </w:r>
      </w:hyperlink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утвержденными </w:t>
      </w:r>
      <w:hyperlink r:id="rId11" w:history="1">
        <w:r w:rsidR="008D123B" w:rsidRPr="008D123B">
          <w:rPr>
            <w:rStyle w:val="a4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Постановлением Правительства РФ от 13.08.2006 N 491</w:t>
        </w:r>
      </w:hyperlink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в объеме не менее установленного перечнем работ по содержанию жилых домов.</w:t>
      </w:r>
      <w:proofErr w:type="gram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 при непосредственном управлении многоквартирным домом.</w:t>
      </w:r>
    </w:p>
    <w:p w:rsidR="008D123B" w:rsidRDefault="008D123B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4.3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Собственники жилых домов на территориях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многоквартирной и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индивидуальной застройки в порядке, установленном настоящими Правилами: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содержат в чистоте и порядке жилой дом, надворные постройки, ограждения и прилегающую к жилому дому территорию;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обеспечивают сохранность имеющихся перед жилым домом зеленых насаждений, надлежащий уход за ними и своевременный снос в установленном порядке;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осуществляют передачу отходов по договору со специализированной организацией;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производят земляные работы на землях общего пользования в установленном порядке.</w:t>
      </w:r>
    </w:p>
    <w:p w:rsidR="00AF15A7" w:rsidRDefault="00AF15A7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4.4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Собственникам жилых домов на территориях </w:t>
      </w:r>
      <w:r w:rsid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многоквартирной и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индивидуальной застройки запрещается: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осуществлять сброс, накопление отходов и мусора в местах, не отведенных для этих целей;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складировать мусор и отходы на прилегающей территории и </w:t>
      </w:r>
      <w:proofErr w:type="spell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прилотковой</w:t>
      </w:r>
      <w:proofErr w:type="spell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части, засыпать и засорять ливневую канализацию, ливнестоки, дренажные стоки;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складирование строительных материалов на придомовых территория и прилегающих территориях свыше 10 дней;</w:t>
      </w:r>
      <w:proofErr w:type="gram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самовольно использовать земли за пределами отведенных собственнику жилого дома территорий под личные хозяйственные и ин</w:t>
      </w:r>
      <w:r w:rsid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ые нужды (складирование мусора, 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горючих материалов, удобрений, возведение построек, </w:t>
      </w:r>
      <w:proofErr w:type="spell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пристроев</w:t>
      </w:r>
      <w:proofErr w:type="spell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гаражей, погребов и др.);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самовольно устанавливать объекты (шлагбаумы, "лежачие полицейские" и др.) на территориях</w:t>
      </w:r>
      <w:r w:rsidR="008D123B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  <w:proofErr w:type="gramEnd"/>
    </w:p>
    <w:p w:rsidR="00413102" w:rsidRDefault="008D123B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lastRenderedPageBreak/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4.5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В</w:t>
      </w:r>
      <w:proofErr w:type="gramEnd"/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При общем земельном участке многоквартирного жилого дома может быть обустроена совместная выгребная, сливная яма. Место расположения такой выгребной, сливной ямы определяется по соглашению собственников квартир в многоквартирном жилом доме.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Выгребная,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очистки. При этом расстояние от выгребной ямы до соседнего домовладе</w:t>
      </w:r>
      <w:r w:rsid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ния должно составлять не менее 5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метров, а до окон жилых помещений - не менее 8 метров.</w:t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4.6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4.7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Вывоз жидких</w:t>
      </w:r>
      <w:r w:rsidR="004034F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твердых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бытовых отходов осуществляется по договорам или разовым заявкам только специализированным транспортом в специально предназначенные места (очистные сооружения).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Сброс жидких отходов в сети канализации вне мест, определенных органами местного самоуправления, запрещен.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4.8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4.9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апрещается: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слив воды на тротуары, газоны, проезжую часть дороги;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4.10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к ним возлагается на организации, в чьей собственности находятся колонки.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4.11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Юридические лица, деятельность которых связана с образованием отходов, физические лица (в собственности которых находятся контейнеры), организации по эксплуатации и обслуживанию жилищного фонда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сбор и временное хранение отходов только в специально отведенных местах в соответствии с настоящими Правилами;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lastRenderedPageBreak/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оборудовать площадки под мусоросборники;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обеспечить наличие мусоросборников и инвентаря для сбора отходов, уличного и дворового смета;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 xml:space="preserve">4.12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Физические лица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сбор и временное хранение отходов только в специально отведенных местах, в соответствии с настоящими Правилами;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 xml:space="preserve">4.13 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Коммунальные предприятия по уборке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составлять на каждую спецмашину маршрутные графики со схемой движения;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обеспечивать обязательное выполнение утвержденных маршрутных графиков;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 районах застройки домов осуществлять планово-регулярную систему очистки от твердых бытовых отходов не реже 2 раз в неделю.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7633A" w:rsidRPr="000A52D2">
        <w:rPr>
          <w:rFonts w:ascii="Times New Roman" w:hAnsi="Times New Roman" w:cs="Times New Roman"/>
          <w:sz w:val="28"/>
          <w:szCs w:val="28"/>
        </w:rPr>
        <w:t>апрещается: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сжигание отходов, в том числе в контейнерах;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при отсутствии договоров на вывоз и захоронение отходов производить их складирование в контейнеры, установленные на территории населенных пунктов и вдоль автомобильных дорог;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D2">
        <w:rPr>
          <w:rFonts w:ascii="Times New Roman" w:hAnsi="Times New Roman" w:cs="Times New Roman"/>
          <w:sz w:val="28"/>
          <w:szCs w:val="28"/>
        </w:rPr>
        <w:t>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мест;</w:t>
      </w:r>
      <w:proofErr w:type="gramEnd"/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размещение грунта и отходов в не отведенных для этих целей местах;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переполнение контейнеров, сборников бытовыми отходами и загрязнение территории;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выборка вторичного сырья из мусоропроводов и мусоросборников;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мытье тары для пищевых отходов в неустановленных местах;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выливать на улицы, дворовые территории нечистоты, выбрасывать твердые бытовые отходы;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lastRenderedPageBreak/>
        <w:t>сброс биологических отходов, медицинских отходов (классов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>, В, Г) в бытовые мусорные контейнеры и вывоз их на свалки и полигоны для захоронения;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смешивание различных классов отходов лечебно-профилактических учреждений на всех стадиях их сбора и хранения;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сбор отходов лечебно-профилактических учреждений, за исключением класса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>, в многоразовую тару (упаковку).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Вырубка и пересадка деревьев и кустарников на территориях, попадающих под застройку, а также проведение аварийно-ремонтных работ, прокладка инженерных сетей, связанных с разрытиями, производство земельных работ проводятся только по разрешению органов архитектуры и градостроительства и соответствующих эксплуатационных служб органов местного самоуправления.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Выгул домашних животных допускается производить только на специально отведенных территориях с соблюдением правил содержания собак и кошек в городах и других населенных пунктах.</w:t>
      </w:r>
    </w:p>
    <w:p w:rsidR="000A52D2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Соблюдение граж</w:t>
      </w:r>
      <w:r w:rsidR="000A52D2" w:rsidRPr="000A52D2">
        <w:rPr>
          <w:rFonts w:ascii="Times New Roman" w:hAnsi="Times New Roman" w:cs="Times New Roman"/>
          <w:sz w:val="28"/>
          <w:szCs w:val="28"/>
        </w:rPr>
        <w:t>данами правил чистоты и порядка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4.15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7633A" w:rsidRPr="000A52D2">
        <w:rPr>
          <w:rFonts w:ascii="Times New Roman" w:hAnsi="Times New Roman" w:cs="Times New Roman"/>
          <w:sz w:val="28"/>
          <w:szCs w:val="28"/>
        </w:rPr>
        <w:t>апрещается: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появляться в общественном транспорте, магазинах, столовых, кафе, домах культуры,   клубах в пачкающей одежде;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выпускать домашнюю птицу и пасти скот в общественных дворах, скверах, на стоянках, пляжах, в зонах отдыха и других местах общего пользования;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D2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 xml:space="preserve"> и загромождать балконы и лоджии, содержать на них животных;</w:t>
      </w:r>
    </w:p>
    <w:p w:rsidR="00AF15A7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выливать на улицах, дворовых территориях нечистоты, выбрасывать, сжигать или закапывать мусор.</w:t>
      </w:r>
    </w:p>
    <w:p w:rsidR="00AF15A7" w:rsidRPr="00CD485F" w:rsidRDefault="00AF15A7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D123B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>. Особые требования к доступности жилой среды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10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1310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. Праздничное оформление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>.1. Праздничное оформление территории выполняется по решению Администрации района на  период проведения государственных  праздников, мероприятий, связанных со знаменательными событиями и праздничными датами.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 их владельцами в рамках концепции праздничного оформления территории.</w:t>
      </w: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13102">
        <w:rPr>
          <w:rFonts w:ascii="Times New Roman" w:hAnsi="Times New Roman" w:cs="Times New Roman"/>
          <w:sz w:val="28"/>
          <w:szCs w:val="28"/>
        </w:rPr>
        <w:t>Праздничное оформление включает в себя: вывеску флагов, лозунгов, гирлянд, панно, установку декоративных элементов и композиций, стендов, трибун, эстрад, а также устройство праздничной иллюминаций.</w:t>
      </w:r>
      <w:proofErr w:type="gramEnd"/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 xml:space="preserve">.3. Обязательными элементами праздничного оформления к празднованию Нового года являются размещение на фасадах,  в витринах гирлянд.         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земельного участка с выходом на улицы, собственникам объектов недвижимости на них расположенных, рекомендуется установить искусственную или натуральную ель или сосну, с украшением ее гирляндами (при наличии технической возможности) и игрушками (данные требования не распространяются на жилищный фонд).</w:t>
      </w:r>
    </w:p>
    <w:p w:rsidR="00413102" w:rsidRDefault="00413102" w:rsidP="00BE7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элементами праздничного оформления к празднованию  являются символика.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1310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норм и правил благоустройства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102">
        <w:rPr>
          <w:rFonts w:ascii="Times New Roman" w:hAnsi="Times New Roman" w:cs="Times New Roman"/>
          <w:sz w:val="28"/>
          <w:szCs w:val="28"/>
        </w:rPr>
        <w:t xml:space="preserve">.1. Лица, нарушившие данные Правила, привлекаются к ответственности в соответствии кодексом об Административных правонарушениях </w:t>
      </w:r>
      <w:proofErr w:type="gramStart"/>
      <w:r w:rsidR="0041310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413102">
        <w:rPr>
          <w:rFonts w:ascii="Times New Roman" w:hAnsi="Times New Roman" w:cs="Times New Roman"/>
          <w:sz w:val="28"/>
          <w:szCs w:val="28"/>
        </w:rPr>
        <w:t xml:space="preserve"> а также с законодательством Курской области   об административных правонарушениях.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D0D" w:rsidRDefault="00BA0D0D"/>
    <w:sectPr w:rsidR="00BA0D0D" w:rsidSect="005A783E">
      <w:pgSz w:w="11906" w:h="16838"/>
      <w:pgMar w:top="1134" w:right="1247" w:bottom="153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70"/>
    <w:multiLevelType w:val="hybridMultilevel"/>
    <w:tmpl w:val="5CFCBA10"/>
    <w:lvl w:ilvl="0" w:tplc="D5022E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13102"/>
    <w:rsid w:val="00047FE5"/>
    <w:rsid w:val="00057BEF"/>
    <w:rsid w:val="000A52D2"/>
    <w:rsid w:val="000C7DC9"/>
    <w:rsid w:val="002220C2"/>
    <w:rsid w:val="002357A8"/>
    <w:rsid w:val="002476D7"/>
    <w:rsid w:val="00310454"/>
    <w:rsid w:val="004034F4"/>
    <w:rsid w:val="00406534"/>
    <w:rsid w:val="00413102"/>
    <w:rsid w:val="00471EE5"/>
    <w:rsid w:val="00593D47"/>
    <w:rsid w:val="005A783E"/>
    <w:rsid w:val="00600541"/>
    <w:rsid w:val="00634888"/>
    <w:rsid w:val="00736700"/>
    <w:rsid w:val="00822579"/>
    <w:rsid w:val="008745F5"/>
    <w:rsid w:val="008C7FC9"/>
    <w:rsid w:val="008D123B"/>
    <w:rsid w:val="00AA5632"/>
    <w:rsid w:val="00AC5FC3"/>
    <w:rsid w:val="00AF15A7"/>
    <w:rsid w:val="00B82073"/>
    <w:rsid w:val="00BA0D0D"/>
    <w:rsid w:val="00BA47A5"/>
    <w:rsid w:val="00BE04A5"/>
    <w:rsid w:val="00BE7A9C"/>
    <w:rsid w:val="00CA4D97"/>
    <w:rsid w:val="00CD485F"/>
    <w:rsid w:val="00DC1E04"/>
    <w:rsid w:val="00E7246B"/>
    <w:rsid w:val="00F7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84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844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8446/" TargetMode="External"/><Relationship Id="rId11" Type="http://schemas.openxmlformats.org/officeDocument/2006/relationships/hyperlink" Target="http://docs.cntd.ru/document/901991977" TargetMode="External"/><Relationship Id="rId5" Type="http://schemas.openxmlformats.org/officeDocument/2006/relationships/hyperlink" Target="http://www.garant.ru/products/ipo/prime/doc/70018446/" TargetMode="Externa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18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11604</Words>
  <Characters>66148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Старороговский сельс</cp:lastModifiedBy>
  <cp:revision>10</cp:revision>
  <cp:lastPrinted>2019-04-05T06:08:00Z</cp:lastPrinted>
  <dcterms:created xsi:type="dcterms:W3CDTF">2019-04-05T05:14:00Z</dcterms:created>
  <dcterms:modified xsi:type="dcterms:W3CDTF">2019-04-05T06:12:00Z</dcterms:modified>
</cp:coreProperties>
</file>